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4"/>
        <w:tblpPr w:leftFromText="180" w:rightFromText="180" w:vertAnchor="text" w:horzAnchor="page" w:tblpX="1589" w:tblpY="820"/>
        <w:tblOverlap w:val="never"/>
        <w:tblW w:w="94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3"/>
        <w:gridCol w:w="1417"/>
        <w:gridCol w:w="840"/>
        <w:gridCol w:w="1400"/>
        <w:gridCol w:w="775"/>
        <w:gridCol w:w="1245"/>
        <w:gridCol w:w="7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0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财政供养人员情况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编制数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eastAsia="zh-CN"/>
              </w:rPr>
              <w:t>2021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年实际在职人数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46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43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93.48%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经费控制情况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年决算数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eastAsia="zh-CN"/>
              </w:rPr>
              <w:t>2021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年预算数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eastAsia="zh-CN"/>
              </w:rPr>
              <w:t>2021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三公经费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17.93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28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1、公务用车购置和维护经费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6.08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18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7.73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其中：公车购置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公车运行维护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6.08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18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7.73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2、出国经费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3、公务接待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11.85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6.27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项目支出：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48.68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50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1、政府办公厅（室）及相关机构事务一般行政管理事务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48.68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50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公用经费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438.69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308.10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其中：办公经费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254.68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102.42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水费、电费、差旅费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30.82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24.39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会议费、培训费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0.11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lang w:val="en-US" w:eastAsia="zh-CN"/>
              </w:rPr>
              <w:t>1.14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政府采购金额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——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部门整体支出预算调整</w:t>
            </w:r>
          </w:p>
        </w:tc>
        <w:tc>
          <w:tcPr>
            <w:tcW w:w="2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——</w:t>
            </w:r>
          </w:p>
        </w:tc>
        <w:tc>
          <w:tcPr>
            <w:tcW w:w="2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</w:tr>
      <w:tr>
        <w:trPr>
          <w:trHeight w:val="735" w:hRule="atLeast"/>
        </w:trPr>
        <w:tc>
          <w:tcPr>
            <w:tcW w:w="300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楼堂馆所控制情况      （</w:t>
            </w:r>
            <w:r>
              <w:rPr>
                <w:rFonts w:hint="eastAsia" w:ascii="Times New Roman" w:hAnsi="Times New Roman" w:eastAsia="仿宋_GB2312" w:cs="Times New Roman"/>
                <w:sz w:val="22"/>
                <w:lang w:eastAsia="zh-CN"/>
              </w:rPr>
              <w:t>2021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年完工项目）</w:t>
            </w:r>
          </w:p>
        </w:tc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批复规模（㎡）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实际规模（㎡）</w:t>
            </w:r>
          </w:p>
        </w:tc>
        <w:tc>
          <w:tcPr>
            <w:tcW w:w="14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规模控制率</w:t>
            </w:r>
          </w:p>
        </w:tc>
        <w:tc>
          <w:tcPr>
            <w:tcW w:w="7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预算投资（万元）</w:t>
            </w: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实际投资（万元）</w:t>
            </w: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0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4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7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00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0" w:hRule="atLeast"/>
        </w:trPr>
        <w:tc>
          <w:tcPr>
            <w:tcW w:w="30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厉行节约保障措施</w:t>
            </w:r>
          </w:p>
        </w:tc>
        <w:tc>
          <w:tcPr>
            <w:tcW w:w="64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>（一）、倡导艰苦奋斗，增强节约意识。要求全镇干部职工要认真学习关于厉行节约的八项规定，崇尚节约，杜绝奢侈浪费行为，努力从自已做起，恪守制度、互相监督，营造“以艰苦奋斗为荣、以骄奢淫逸为耻”的浓厚氛围。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（二）、严禁以各种名义用公款出国（境）或国内旅游及国内参观学习。确需外出参观学习的应按照管理权限事先履行报批程序，任何个人均不得自行组织外出学习或参观活动。（三）、节约用电、用水。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（四）、加强公务用车管理。严格执行我镇《车辆管理使用制度》，鼓励出差乘座公共汽车，特殊情况需用车时应向办公室预约并经镇长批准；驾驶员必须精心操作，保护车辆，减少维修费用，严格控制公车私用，严格执行车辆更换、购置报审制度。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（五）、规范办公用品采购。各站所需要的物品必须按规定由办公室进行集中采购，采购应坚持货比三家，择优选购。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（六）、节约办公用品。多页公文一律采用双面打印，除特殊情况外，一般不得到商业店铺打印。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（七）、明确公务接待标准。公务接待实行对口接待，从严控制接待标准和陪餐人数，一般不安排盒烟，一律不安排各类娱乐性消费活动。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（八）、从严控制旅差费用。公务出差应注意节约，尽量减少各项旅差开支，旅差费用标准严格遵守有关规定。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（九）、严格控制会议、庆典、节会，确需召开的会议，须报主要领导批准，并从严控制规模和经费支出。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（十）、注意爱护公物。对配发给干部职工的办公用具，办公室要登记造册，落实管护责任；全镇干部职工应珍爱公物，合理使用，妥善保管，保持用具的使用性能，严禁侵占公物行为。</w:t>
            </w:r>
          </w:p>
        </w:tc>
      </w:tr>
    </w:tbl>
    <w:p>
      <w:pPr>
        <w:widowControl/>
        <w:jc w:val="both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both"/>
        <w:rPr>
          <w:rFonts w:hint="eastAsia" w:ascii="Times New Roman" w:hAnsi="Times New Roman" w:eastAsia="仿宋_GB2312" w:cs="Times New Roman"/>
          <w:sz w:val="22"/>
          <w:lang w:val="en-US" w:eastAsia="zh-CN"/>
        </w:rPr>
      </w:pPr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杨桂芳      </w:t>
      </w:r>
      <w:r>
        <w:rPr>
          <w:rFonts w:ascii="Times New Roman" w:hAnsi="Times New Roman" w:eastAsia="仿宋_GB2312" w:cs="Times New Roman"/>
          <w:sz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2022.05.17</w:t>
      </w:r>
      <w:r>
        <w:rPr>
          <w:rFonts w:ascii="Times New Roman" w:hAnsi="Times New Roman" w:eastAsia="仿宋_GB2312" w:cs="Times New Roman"/>
          <w:sz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18074556081</w:t>
      </w:r>
    </w:p>
    <w:p>
      <w:pPr>
        <w:widowControl/>
        <w:jc w:val="both"/>
        <w:rPr>
          <w:rFonts w:hint="default" w:eastAsia="仿宋_GB2312"/>
          <w:lang w:val="en-US" w:eastAsia="zh-CN"/>
        </w:rPr>
      </w:pPr>
      <w:r>
        <w:rPr>
          <w:rFonts w:ascii="Times New Roman" w:hAnsi="Times New Roman" w:eastAsia="仿宋_GB2312" w:cs="Times New Roman"/>
          <w:sz w:val="22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谢少俊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1ZGEyMjIwM2QwNGJiNzdhZGFmNDFmMGQ4N2E3YmYifQ=="/>
  </w:docVars>
  <w:rsids>
    <w:rsidRoot w:val="03373877"/>
    <w:rsid w:val="03373877"/>
    <w:rsid w:val="03D64A57"/>
    <w:rsid w:val="0BDC37FE"/>
    <w:rsid w:val="187A4D8D"/>
    <w:rsid w:val="242523B4"/>
    <w:rsid w:val="3116216E"/>
    <w:rsid w:val="31EF47FA"/>
    <w:rsid w:val="3CBF44EE"/>
    <w:rsid w:val="3F3135AE"/>
    <w:rsid w:val="42D51EA9"/>
    <w:rsid w:val="48E4101E"/>
    <w:rsid w:val="4B7D7790"/>
    <w:rsid w:val="4ECE23FF"/>
    <w:rsid w:val="51387AF6"/>
    <w:rsid w:val="5A70299C"/>
    <w:rsid w:val="66AC1717"/>
    <w:rsid w:val="6F8B3FC6"/>
    <w:rsid w:val="74174072"/>
    <w:rsid w:val="792F7DF5"/>
    <w:rsid w:val="7CB43333"/>
    <w:rsid w:val="7F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988</Words>
  <Characters>1107</Characters>
  <Lines>0</Lines>
  <Paragraphs>0</Paragraphs>
  <TotalTime>2</TotalTime>
  <ScaleCrop>false</ScaleCrop>
  <LinksUpToDate>false</LinksUpToDate>
  <CharactersWithSpaces>1167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67564</cp:lastModifiedBy>
  <dcterms:modified xsi:type="dcterms:W3CDTF">2022-05-29T12:31:20Z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31352C4B2677499D93ABC0CAAFCF19DC</vt:lpwstr>
  </property>
</Properties>
</file>